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B989D" w14:textId="1C404DB5" w:rsidR="00BB2954" w:rsidRDefault="008B7A3F">
      <w:r w:rsidRPr="00F0587D">
        <w:rPr>
          <w:u w:val="single"/>
        </w:rPr>
        <w:t>SoCalGas’ response</w:t>
      </w:r>
      <w:r>
        <w:t xml:space="preserve"> to </w:t>
      </w:r>
      <w:r w:rsidR="00411B1C">
        <w:t xml:space="preserve">CPUC Comments on </w:t>
      </w:r>
      <w:r w:rsidR="002D5646">
        <w:t>SWHC001-02 Wall Furnace, Residential</w:t>
      </w:r>
    </w:p>
    <w:p w14:paraId="2BA7A164" w14:textId="0BBAA798" w:rsidR="004266C0" w:rsidRDefault="004266C0">
      <w:r>
        <w:t xml:space="preserve">Lead PA: </w:t>
      </w:r>
      <w:r w:rsidR="00625F31">
        <w:t>SCG</w:t>
      </w:r>
    </w:p>
    <w:p w14:paraId="4BB68C7D" w14:textId="2E946D94" w:rsidR="009E1581" w:rsidRDefault="004266C0">
      <w:r>
        <w:t xml:space="preserve">Workpaper </w:t>
      </w:r>
      <w:r w:rsidR="008F1FF0">
        <w:t xml:space="preserve">Submittal Date: </w:t>
      </w:r>
      <w:r w:rsidR="00625F31">
        <w:t>10/29/2020</w:t>
      </w:r>
    </w:p>
    <w:p w14:paraId="6048CE63" w14:textId="77777777" w:rsidR="000646DA" w:rsidRDefault="004266C0">
      <w:r>
        <w:t xml:space="preserve">CPUC Review Date: </w:t>
      </w:r>
      <w:r w:rsidR="00D9586B">
        <w:t>11/</w:t>
      </w:r>
      <w:r w:rsidR="006A397C">
        <w:t>25</w:t>
      </w:r>
      <w:r w:rsidR="00D9586B">
        <w:t>/2020</w:t>
      </w:r>
    </w:p>
    <w:p w14:paraId="34974D73" w14:textId="77777777" w:rsidR="003E060C" w:rsidRDefault="00F0587D">
      <w:r>
        <w:t>SCG Response Date: 12/</w:t>
      </w:r>
      <w:r w:rsidR="00160957">
        <w:t>4</w:t>
      </w:r>
      <w:r>
        <w:t>/2020</w:t>
      </w:r>
    </w:p>
    <w:p w14:paraId="3BC4B208" w14:textId="2B830361" w:rsidR="00160957" w:rsidRDefault="00160957">
      <w:r>
        <w:t>CPUC Additional Comments: 12/18/2020</w:t>
      </w:r>
    </w:p>
    <w:p w14:paraId="5C256878" w14:textId="00C79A36" w:rsidR="003E060C" w:rsidRDefault="003E060C">
      <w:r>
        <w:t>SCG Response Date: 12/</w:t>
      </w:r>
      <w:r>
        <w:t>31</w:t>
      </w:r>
      <w:r>
        <w:t>/2020</w:t>
      </w:r>
    </w:p>
    <w:p w14:paraId="2EEF28DC" w14:textId="3B38DEDE" w:rsidR="003E060C" w:rsidRDefault="00160957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>
        <w:t xml:space="preserve">the entire package </w:t>
      </w:r>
      <w:r w:rsidRPr="00047FC1">
        <w:t xml:space="preserve">to the WPA. If needed, please reach out to </w:t>
      </w:r>
      <w:r>
        <w:t>Workpaper Review T</w:t>
      </w:r>
      <w:r w:rsidRPr="00047FC1">
        <w:t>eam to set up a call to discuss.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9"/>
        <w:gridCol w:w="6161"/>
      </w:tblGrid>
      <w:tr w:rsidR="00FB45B1" w14:paraId="607A2B09" w14:textId="77777777" w:rsidTr="00FB45B1">
        <w:tc>
          <w:tcPr>
            <w:tcW w:w="3189" w:type="dxa"/>
          </w:tcPr>
          <w:p w14:paraId="019B6AF4" w14:textId="49C27F59" w:rsidR="00FB45B1" w:rsidRDefault="00FB45B1" w:rsidP="00FB45B1">
            <w:r>
              <w:t>CPUC Comment</w:t>
            </w:r>
          </w:p>
        </w:tc>
        <w:tc>
          <w:tcPr>
            <w:tcW w:w="6161" w:type="dxa"/>
          </w:tcPr>
          <w:p w14:paraId="4262B9AE" w14:textId="459C6574" w:rsidR="00FB45B1" w:rsidRDefault="00FB45B1" w:rsidP="00FB45B1">
            <w:r>
              <w:t>PA Response</w:t>
            </w:r>
          </w:p>
        </w:tc>
      </w:tr>
      <w:tr w:rsidR="00FB45B1" w14:paraId="76AF640B" w14:textId="77777777" w:rsidTr="00FB45B1">
        <w:tc>
          <w:tcPr>
            <w:tcW w:w="3189" w:type="dxa"/>
          </w:tcPr>
          <w:p w14:paraId="1BECF11A" w14:textId="77777777" w:rsidR="00FB45B1" w:rsidRDefault="00FB45B1" w:rsidP="00FB45B1">
            <w:pPr>
              <w:rPr>
                <w:noProof/>
              </w:rPr>
            </w:pPr>
            <w:r>
              <w:t xml:space="preserve">In your example of the Williams furnace below we noted on your application that that furnace is not </w:t>
            </w:r>
            <w:r>
              <w:rPr>
                <w:noProof/>
              </w:rPr>
              <w:t>eligible for downstream incentives, see highlighted. Please explain how that differs from the model you provided in your example below.</w:t>
            </w:r>
          </w:p>
          <w:p w14:paraId="6BEA43BD" w14:textId="77777777" w:rsidR="00FB45B1" w:rsidRDefault="00FB45B1" w:rsidP="00FB45B1">
            <w:pPr>
              <w:rPr>
                <w:noProof/>
              </w:rPr>
            </w:pPr>
          </w:p>
          <w:p w14:paraId="1535ACF0" w14:textId="77777777" w:rsidR="00FB45B1" w:rsidRDefault="00FB45B1" w:rsidP="00FB45B1">
            <w:r>
              <w:rPr>
                <w:noProof/>
              </w:rPr>
              <w:drawing>
                <wp:inline distT="0" distB="0" distL="0" distR="0" wp14:anchorId="518909E9" wp14:editId="114E0D3C">
                  <wp:extent cx="2202815" cy="474980"/>
                  <wp:effectExtent l="0" t="0" r="6985" b="127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2815" cy="474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382FA8" w14:textId="77777777" w:rsidR="00FB45B1" w:rsidRDefault="00FB45B1" w:rsidP="00FB45B1"/>
          <w:p w14:paraId="49D1D568" w14:textId="77777777" w:rsidR="00FB45B1" w:rsidRDefault="00FB45B1" w:rsidP="00FB45B1"/>
        </w:tc>
        <w:tc>
          <w:tcPr>
            <w:tcW w:w="6161" w:type="dxa"/>
          </w:tcPr>
          <w:p w14:paraId="7A5E6540" w14:textId="77777777" w:rsidR="00FB45B1" w:rsidRDefault="00FB45B1" w:rsidP="00FB45B1">
            <w:r>
              <w:t>The requirement excluding Williams furnaces is for the current downstream rebate only on gravity-type furnaces.  Upon the approval of the revised workpaper for the new fan-type model, the program eligibility and the rebate application will be reviewed and revised as the model in the example is a new rebate category (fan-type) that will be added to the programs. Fan-type wall furnaces have not been offered in our programs due to available models meeting code/standard but not exceeding it in the past.</w:t>
            </w:r>
          </w:p>
          <w:p w14:paraId="11F4C828" w14:textId="77777777" w:rsidR="00FB45B1" w:rsidRDefault="00FB45B1" w:rsidP="00FB45B1"/>
        </w:tc>
      </w:tr>
      <w:tr w:rsidR="00FB45B1" w14:paraId="278388D0" w14:textId="77777777" w:rsidTr="00FB45B1">
        <w:tc>
          <w:tcPr>
            <w:tcW w:w="3189" w:type="dxa"/>
          </w:tcPr>
          <w:p w14:paraId="419DFF12" w14:textId="125F39C5" w:rsidR="00FB45B1" w:rsidRDefault="00FB45B1" w:rsidP="00FB45B1">
            <w:r>
              <w:t>Regarding the Electric impact profile. After reviewing the residential furnace measure, we note that you were using the appropriate</w:t>
            </w:r>
            <w:r w:rsidRPr="006A397C">
              <w:t xml:space="preserve"> </w:t>
            </w:r>
            <w:r w:rsidRPr="00753AA8">
              <w:rPr>
                <w:b/>
                <w:bCs/>
              </w:rPr>
              <w:t>DEER:HVAC_Eff_AC</w:t>
            </w:r>
            <w:r>
              <w:t xml:space="preserve"> previously. </w:t>
            </w:r>
            <w:r w:rsidRPr="007A0151">
              <w:rPr>
                <w:color w:val="FF0000"/>
              </w:rPr>
              <w:t xml:space="preserve">Please revise back to previous. </w:t>
            </w:r>
            <w:r>
              <w:t>We also note that there are no electric impacts noted from the fan in the wall furnace – similar to how the residential furnace is modeled. Please explain.</w:t>
            </w:r>
          </w:p>
        </w:tc>
        <w:tc>
          <w:tcPr>
            <w:tcW w:w="6161" w:type="dxa"/>
          </w:tcPr>
          <w:p w14:paraId="6A37F53C" w14:textId="77777777" w:rsidR="00FB45B1" w:rsidRDefault="00FB45B1" w:rsidP="00FB45B1">
            <w:r>
              <w:t xml:space="preserve">We can revert back to the load shape DEER:HVAC_Eff_AC. </w:t>
            </w:r>
          </w:p>
          <w:p w14:paraId="7FC7E140" w14:textId="77777777" w:rsidR="00FB45B1" w:rsidRDefault="00FB45B1" w:rsidP="00FB45B1"/>
          <w:p w14:paraId="32194804" w14:textId="77777777" w:rsidR="00FB45B1" w:rsidRDefault="00FB45B1" w:rsidP="00FB45B1">
            <w:r>
              <w:t xml:space="preserve">The fan-type wall furnace would have some electricity consumption.  The electric consumption was not accounted for in the workpaper because it is a very small amount and it assumed to be the same consumption in the measure and base cases, </w:t>
            </w:r>
            <w:r>
              <w:rPr>
                <w:color w:val="FF0000"/>
              </w:rPr>
              <w:t>as they are both fan type wall furnaces</w:t>
            </w:r>
            <w:r>
              <w:t>.   For the electric consumption of small fan, the new technology is under development to completely remove the need for the external AC power input but still achieve the similar AFUE.</w:t>
            </w:r>
          </w:p>
          <w:p w14:paraId="654F1FCB" w14:textId="77777777" w:rsidR="00FB45B1" w:rsidRDefault="00FB45B1" w:rsidP="00FB45B1"/>
        </w:tc>
      </w:tr>
      <w:tr w:rsidR="00FB45B1" w14:paraId="03FB0724" w14:textId="77777777" w:rsidTr="00FB45B1">
        <w:tc>
          <w:tcPr>
            <w:tcW w:w="3189" w:type="dxa"/>
          </w:tcPr>
          <w:p w14:paraId="0EEC8D5C" w14:textId="77777777" w:rsidR="00FB45B1" w:rsidRDefault="00FB45B1" w:rsidP="00FB45B1"/>
          <w:p w14:paraId="23F7B5F9" w14:textId="77777777" w:rsidR="00FB45B1" w:rsidRDefault="00FB45B1" w:rsidP="00FB45B1">
            <w:r>
              <w:t xml:space="preserve">The measure description says that ≥ 25 kBtu/hr to ≤ 60 kBtu/hr fan type wall furnaces are eligible. However, the measure impacts are provided for 30 </w:t>
            </w:r>
            <w:r>
              <w:lastRenderedPageBreak/>
              <w:t xml:space="preserve">kBtu/h size only. What is the basis of using 30 kBtu/h size? Why does the WP not report impacts for different sizes just like with gravity wall furnace? </w:t>
            </w:r>
          </w:p>
          <w:p w14:paraId="7C2453C6" w14:textId="77777777" w:rsidR="00FB45B1" w:rsidRDefault="00FB45B1" w:rsidP="00FB45B1"/>
        </w:tc>
        <w:tc>
          <w:tcPr>
            <w:tcW w:w="6161" w:type="dxa"/>
          </w:tcPr>
          <w:p w14:paraId="710CEA18" w14:textId="77777777" w:rsidR="00FB45B1" w:rsidRDefault="00FB45B1" w:rsidP="00FB45B1">
            <w:r>
              <w:lastRenderedPageBreak/>
              <w:t xml:space="preserve">Gravity-type wall furnace has qualifying units that meet each of three size bins. </w:t>
            </w:r>
          </w:p>
          <w:p w14:paraId="177D965A" w14:textId="77777777" w:rsidR="00FB45B1" w:rsidRDefault="00FB45B1" w:rsidP="00FB45B1"/>
          <w:p w14:paraId="47FDC972" w14:textId="77777777" w:rsidR="00FB45B1" w:rsidRDefault="00FB45B1" w:rsidP="00FB45B1">
            <w:r>
              <w:t xml:space="preserve">Fan-type wall furnace has a qualifying unit only for the smaller </w:t>
            </w:r>
            <w:r w:rsidRPr="00A43E06">
              <w:t xml:space="preserve">size </w:t>
            </w:r>
            <w:r>
              <w:t xml:space="preserve">at 30,000 </w:t>
            </w:r>
            <w:r w:rsidRPr="00A43E06">
              <w:t>Btu/h so the impacts for the larger size</w:t>
            </w:r>
            <w:r>
              <w:t>s</w:t>
            </w:r>
            <w:r w:rsidRPr="00A43E06">
              <w:t xml:space="preserve"> were not generated. The text on the measure case description will be </w:t>
            </w:r>
            <w:r w:rsidRPr="00A43E06">
              <w:lastRenderedPageBreak/>
              <w:t xml:space="preserve">revised </w:t>
            </w:r>
            <w:r>
              <w:t>to limit wall furnaces to capacity &lt;= 42,000 Btu/h, instead of &lt;=60,000 Btu/hr.</w:t>
            </w:r>
          </w:p>
          <w:p w14:paraId="6E25F094" w14:textId="77777777" w:rsidR="00FB45B1" w:rsidRDefault="00FB45B1" w:rsidP="00FB45B1">
            <w:r w:rsidRPr="00CA625C">
              <w:rPr>
                <w:noProof/>
              </w:rPr>
              <w:drawing>
                <wp:inline distT="0" distB="0" distL="0" distR="0" wp14:anchorId="3CFA0C58" wp14:editId="5FB84ECE">
                  <wp:extent cx="2819545" cy="1212912"/>
                  <wp:effectExtent l="76200" t="76200" r="133350" b="13970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545" cy="1212912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18AEC652" w14:textId="408B599F" w:rsidR="00FB45B1" w:rsidRDefault="00FB45B1" w:rsidP="00FB45B1">
            <w:r w:rsidRPr="00AD263B">
              <w:rPr>
                <w:noProof/>
              </w:rPr>
              <w:drawing>
                <wp:inline distT="0" distB="0" distL="0" distR="0" wp14:anchorId="3CB40F93" wp14:editId="62C652F7">
                  <wp:extent cx="4203065" cy="975995"/>
                  <wp:effectExtent l="76200" t="76200" r="140335" b="12890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065" cy="975995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45B1" w14:paraId="55D17F5B" w14:textId="77777777" w:rsidTr="00FB45B1">
        <w:tc>
          <w:tcPr>
            <w:tcW w:w="3189" w:type="dxa"/>
          </w:tcPr>
          <w:p w14:paraId="6D69C264" w14:textId="77777777" w:rsidR="00FB45B1" w:rsidRDefault="00FB45B1" w:rsidP="00FB45B1">
            <w:r>
              <w:lastRenderedPageBreak/>
              <w:t>General comment:</w:t>
            </w:r>
          </w:p>
          <w:p w14:paraId="504DB144" w14:textId="0D536F6A" w:rsidR="00FB45B1" w:rsidRDefault="00FB45B1" w:rsidP="00FB45B1">
            <w:r>
              <w:t xml:space="preserve">There are several grammatical and formatting errors in the WP. Please review thoroughly. </w:t>
            </w:r>
          </w:p>
        </w:tc>
        <w:tc>
          <w:tcPr>
            <w:tcW w:w="6161" w:type="dxa"/>
          </w:tcPr>
          <w:p w14:paraId="4F965897" w14:textId="54E5FD5D" w:rsidR="00FB45B1" w:rsidRDefault="00FB45B1" w:rsidP="00FB45B1">
            <w:r>
              <w:t>We will review and revise to correct all errors and resubmit.</w:t>
            </w:r>
          </w:p>
        </w:tc>
      </w:tr>
      <w:tr w:rsidR="00FB45B1" w14:paraId="32F67B58" w14:textId="77777777" w:rsidTr="00FB45B1">
        <w:tc>
          <w:tcPr>
            <w:tcW w:w="3189" w:type="dxa"/>
          </w:tcPr>
          <w:p w14:paraId="610FB27A" w14:textId="1635BA0C" w:rsidR="00FB45B1" w:rsidRDefault="00FB45B1" w:rsidP="00FB45B1">
            <w:r w:rsidRPr="006A397C">
              <w:t>No match. NTG ID for 2020 "all-default &lt;= 2 years" is not listed in PEAR.</w:t>
            </w:r>
            <w:r>
              <w:t xml:space="preserve"> Please revise to the correct NTG ID.</w:t>
            </w:r>
          </w:p>
        </w:tc>
        <w:tc>
          <w:tcPr>
            <w:tcW w:w="6161" w:type="dxa"/>
          </w:tcPr>
          <w:p w14:paraId="323EEC28" w14:textId="262F08FF" w:rsidR="00FB45B1" w:rsidRDefault="00FB45B1" w:rsidP="00FB45B1">
            <w:r>
              <w:t>Correct NTG ID spelling is “All-Default&lt;=2yrs”. In the EAD, the NTG ID was incorrectly written as “All-Default&gt;2yrs.  It will be corrected to the proper spelling.</w:t>
            </w:r>
          </w:p>
        </w:tc>
      </w:tr>
      <w:tr w:rsidR="00FB45B1" w14:paraId="69A4B5BB" w14:textId="77777777" w:rsidTr="00FB45B1">
        <w:tc>
          <w:tcPr>
            <w:tcW w:w="3189" w:type="dxa"/>
          </w:tcPr>
          <w:p w14:paraId="34E6BD61" w14:textId="7578DFAC" w:rsidR="00FB45B1" w:rsidRDefault="00FB45B1" w:rsidP="00FB45B1">
            <w:r w:rsidRPr="006A397C">
              <w:t>No match found on PEAR. EAD uses "DEER:HVAC_Eff_AC"</w:t>
            </w:r>
            <w:r>
              <w:t xml:space="preserve"> Please select correct profile.</w:t>
            </w:r>
          </w:p>
        </w:tc>
        <w:tc>
          <w:tcPr>
            <w:tcW w:w="6161" w:type="dxa"/>
          </w:tcPr>
          <w:p w14:paraId="3929BCCD" w14:textId="77777777" w:rsidR="00FB45B1" w:rsidRDefault="00FB45B1" w:rsidP="00FB45B1">
            <w:r>
              <w:t>We noted that there is an electric impact profile “</w:t>
            </w:r>
            <w:r w:rsidRPr="006A397C">
              <w:t>DEER:HVAC_Eff_AC</w:t>
            </w:r>
            <w:r>
              <w:t>” in READI Ex Ante Database (see screenshot below).  However, we will switch it to “</w:t>
            </w:r>
            <w:r w:rsidRPr="00DA38B4">
              <w:t>DEER:Indoor_CFL_Ltg</w:t>
            </w:r>
            <w:r>
              <w:t xml:space="preserve">”.  Please note that this profile ID is only a placeholder as there are no electric savings in this measure.  </w:t>
            </w:r>
          </w:p>
          <w:p w14:paraId="113CCCEE" w14:textId="77777777" w:rsidR="00FB45B1" w:rsidRDefault="00FB45B1" w:rsidP="00FB45B1"/>
          <w:p w14:paraId="12FC06FC" w14:textId="648E92BC" w:rsidR="00FB45B1" w:rsidRDefault="00FB45B1" w:rsidP="00FB45B1">
            <w:r w:rsidRPr="00010AED">
              <w:rPr>
                <w:noProof/>
              </w:rPr>
              <w:drawing>
                <wp:inline distT="0" distB="0" distL="0" distR="0" wp14:anchorId="4CA0330D" wp14:editId="38D3641F">
                  <wp:extent cx="4203065" cy="960120"/>
                  <wp:effectExtent l="76200" t="76200" r="140335" b="12573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065" cy="96012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45B1" w14:paraId="60751BE9" w14:textId="77777777" w:rsidTr="00FB45B1">
        <w:tc>
          <w:tcPr>
            <w:tcW w:w="3189" w:type="dxa"/>
          </w:tcPr>
          <w:p w14:paraId="3B6265AE" w14:textId="20B4D068" w:rsidR="00FB45B1" w:rsidRDefault="00FB45B1" w:rsidP="00FB45B1">
            <w:r>
              <w:t xml:space="preserve">Fan-type wall furnaces have been around for a while and are not considered emerging technologies. One criteria for allowing an ET is if it has been in a program for less than 2 years. Another criteria is CPUC determination that it is not an emerging technology. Fan-type </w:t>
            </w:r>
            <w:r>
              <w:lastRenderedPageBreak/>
              <w:t>wall furnace seems to have been around for since 2014 and even earlier.  There already are Title 24 requirements for fan-type wall furnaces.</w:t>
            </w:r>
          </w:p>
        </w:tc>
        <w:tc>
          <w:tcPr>
            <w:tcW w:w="6161" w:type="dxa"/>
          </w:tcPr>
          <w:p w14:paraId="53ABE2C6" w14:textId="77777777" w:rsidR="00FB45B1" w:rsidRDefault="00FB45B1" w:rsidP="00FB45B1"/>
          <w:p w14:paraId="04279A3A" w14:textId="77777777" w:rsidR="00FB45B1" w:rsidRDefault="00FB45B1" w:rsidP="00FB45B1">
            <w:r>
              <w:t xml:space="preserve">We believe this comment is related to the adoption of NTG ID “All-Default&lt;=2yrs” for 0.70 NTGR.  Although the fan-type wall furnace technology is not new to the market, this higher efficiency model is new to the market. </w:t>
            </w:r>
          </w:p>
          <w:p w14:paraId="7E5463CE" w14:textId="77777777" w:rsidR="00FB45B1" w:rsidRDefault="00FB45B1" w:rsidP="00FB45B1"/>
          <w:p w14:paraId="0685D3A5" w14:textId="77777777" w:rsidR="00FB45B1" w:rsidRDefault="00FB45B1" w:rsidP="00FB45B1">
            <w:r>
              <w:t xml:space="preserve">For a long time, fan-type wall furnaces have typically been built to barely meet code requirements of 75% or 76% as shown in below table. </w:t>
            </w:r>
          </w:p>
          <w:p w14:paraId="57151384" w14:textId="77777777" w:rsidR="00FB45B1" w:rsidRDefault="00FB45B1" w:rsidP="00FB45B1">
            <w:r w:rsidRPr="00993727">
              <w:rPr>
                <w:noProof/>
              </w:rPr>
              <w:lastRenderedPageBreak/>
              <w:drawing>
                <wp:inline distT="0" distB="0" distL="0" distR="0" wp14:anchorId="32277742" wp14:editId="2F16EEA0">
                  <wp:extent cx="4203065" cy="2504440"/>
                  <wp:effectExtent l="76200" t="76200" r="140335" b="12446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065" cy="250444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t>SoCalGas has been working closely with a manufacturer during the product development stages to make sure they are provided incentives for designing and building units with much higher efficiency (82% AFUE in this case) than the code minimum. See screenshots from Williams and distributor websites below.  We believe 0.70 NTG ID “All-Default&lt;=2yrs” is applicable for the new fan-type furnace measure.</w:t>
            </w:r>
          </w:p>
          <w:p w14:paraId="5E9AA018" w14:textId="77777777" w:rsidR="00FB45B1" w:rsidRDefault="00FB45B1" w:rsidP="00FB45B1">
            <w:r w:rsidRPr="001B71BF">
              <w:rPr>
                <w:noProof/>
              </w:rPr>
              <w:drawing>
                <wp:inline distT="0" distB="0" distL="0" distR="0" wp14:anchorId="1DCD4D30" wp14:editId="6816F4D7">
                  <wp:extent cx="4203065" cy="1078230"/>
                  <wp:effectExtent l="0" t="0" r="6985" b="762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065" cy="1078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E3A671" w14:textId="6CFC9D32" w:rsidR="00FB45B1" w:rsidRDefault="00FB45B1" w:rsidP="00FB45B1">
            <w:r w:rsidRPr="00D43061">
              <w:rPr>
                <w:noProof/>
              </w:rPr>
              <w:drawing>
                <wp:inline distT="0" distB="0" distL="0" distR="0" wp14:anchorId="53BBC41B" wp14:editId="655F1E24">
                  <wp:extent cx="4203065" cy="2277745"/>
                  <wp:effectExtent l="0" t="0" r="6985" b="825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065" cy="2277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233549" w14:textId="48BFF661" w:rsidR="003E060C" w:rsidRDefault="003E060C"/>
    <w:p w14:paraId="075BBE4F" w14:textId="77777777" w:rsidR="003E060C" w:rsidRDefault="003E060C"/>
    <w:sectPr w:rsidR="003E06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10AED"/>
    <w:rsid w:val="00016A82"/>
    <w:rsid w:val="00016F16"/>
    <w:rsid w:val="0002733F"/>
    <w:rsid w:val="0004463A"/>
    <w:rsid w:val="00046CFA"/>
    <w:rsid w:val="00047FC1"/>
    <w:rsid w:val="000646DA"/>
    <w:rsid w:val="0007400E"/>
    <w:rsid w:val="00096A19"/>
    <w:rsid w:val="00101809"/>
    <w:rsid w:val="00131866"/>
    <w:rsid w:val="00141628"/>
    <w:rsid w:val="00160957"/>
    <w:rsid w:val="001B71BF"/>
    <w:rsid w:val="00200DCA"/>
    <w:rsid w:val="00284189"/>
    <w:rsid w:val="002A755F"/>
    <w:rsid w:val="002B4FD4"/>
    <w:rsid w:val="002D5646"/>
    <w:rsid w:val="002E05AF"/>
    <w:rsid w:val="002E4BF6"/>
    <w:rsid w:val="00321306"/>
    <w:rsid w:val="00323BA4"/>
    <w:rsid w:val="00387E99"/>
    <w:rsid w:val="003A3245"/>
    <w:rsid w:val="003E060C"/>
    <w:rsid w:val="003E79B7"/>
    <w:rsid w:val="00411B1C"/>
    <w:rsid w:val="004266C0"/>
    <w:rsid w:val="00436ACD"/>
    <w:rsid w:val="004852E2"/>
    <w:rsid w:val="004E7F9C"/>
    <w:rsid w:val="004F6DA7"/>
    <w:rsid w:val="00525049"/>
    <w:rsid w:val="0057680E"/>
    <w:rsid w:val="005940DF"/>
    <w:rsid w:val="005D6242"/>
    <w:rsid w:val="00625F31"/>
    <w:rsid w:val="006845FC"/>
    <w:rsid w:val="006A33BD"/>
    <w:rsid w:val="006A397C"/>
    <w:rsid w:val="006A7F98"/>
    <w:rsid w:val="006C6E3A"/>
    <w:rsid w:val="006F56C1"/>
    <w:rsid w:val="00753AA8"/>
    <w:rsid w:val="007653E9"/>
    <w:rsid w:val="00791A22"/>
    <w:rsid w:val="007A0151"/>
    <w:rsid w:val="007C2D1C"/>
    <w:rsid w:val="007D3875"/>
    <w:rsid w:val="008049E5"/>
    <w:rsid w:val="008963E4"/>
    <w:rsid w:val="008B7A3F"/>
    <w:rsid w:val="008D11B7"/>
    <w:rsid w:val="008F1FF0"/>
    <w:rsid w:val="00905B03"/>
    <w:rsid w:val="00926BD8"/>
    <w:rsid w:val="00931745"/>
    <w:rsid w:val="00992FAB"/>
    <w:rsid w:val="00993727"/>
    <w:rsid w:val="009B2C14"/>
    <w:rsid w:val="009D78E8"/>
    <w:rsid w:val="009D7CE9"/>
    <w:rsid w:val="009E1581"/>
    <w:rsid w:val="009E408E"/>
    <w:rsid w:val="00A03B48"/>
    <w:rsid w:val="00A2050D"/>
    <w:rsid w:val="00A36EF5"/>
    <w:rsid w:val="00A43E06"/>
    <w:rsid w:val="00A51344"/>
    <w:rsid w:val="00A73DBC"/>
    <w:rsid w:val="00A834E9"/>
    <w:rsid w:val="00AB26AE"/>
    <w:rsid w:val="00AC21BB"/>
    <w:rsid w:val="00AC258C"/>
    <w:rsid w:val="00AC44E5"/>
    <w:rsid w:val="00AD263B"/>
    <w:rsid w:val="00AD3DAD"/>
    <w:rsid w:val="00B150C4"/>
    <w:rsid w:val="00B8145B"/>
    <w:rsid w:val="00BA4AC4"/>
    <w:rsid w:val="00BB2954"/>
    <w:rsid w:val="00C70B99"/>
    <w:rsid w:val="00CA625C"/>
    <w:rsid w:val="00CB61E4"/>
    <w:rsid w:val="00CE69EE"/>
    <w:rsid w:val="00D21197"/>
    <w:rsid w:val="00D43061"/>
    <w:rsid w:val="00D67C5A"/>
    <w:rsid w:val="00D9586B"/>
    <w:rsid w:val="00DA38B4"/>
    <w:rsid w:val="00DB2C5D"/>
    <w:rsid w:val="00DC0C71"/>
    <w:rsid w:val="00DD0EE5"/>
    <w:rsid w:val="00E120D0"/>
    <w:rsid w:val="00EA00BC"/>
    <w:rsid w:val="00EB1F38"/>
    <w:rsid w:val="00EC4C2D"/>
    <w:rsid w:val="00F00D47"/>
    <w:rsid w:val="00F0587D"/>
    <w:rsid w:val="00F52154"/>
    <w:rsid w:val="00F77B65"/>
    <w:rsid w:val="00F876A3"/>
    <w:rsid w:val="00FB0581"/>
    <w:rsid w:val="00FB45B1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269C43200386408AC2A68E8FD10541" ma:contentTypeVersion="12" ma:contentTypeDescription="Create a new document." ma:contentTypeScope="" ma:versionID="b2658039a5d179096797f7d7b5d33c51">
  <xsd:schema xmlns:xsd="http://www.w3.org/2001/XMLSchema" xmlns:xs="http://www.w3.org/2001/XMLSchema" xmlns:p="http://schemas.microsoft.com/office/2006/metadata/properties" xmlns:ns3="fc52014f-2c81-4c4b-91d9-ff60d45d638d" xmlns:ns4="cc73b508-dacc-41de-a31c-846a24ac3052" targetNamespace="http://schemas.microsoft.com/office/2006/metadata/properties" ma:root="true" ma:fieldsID="a5bde676db64bd762f1e0b53f5596d30" ns3:_="" ns4:_="">
    <xsd:import namespace="fc52014f-2c81-4c4b-91d9-ff60d45d638d"/>
    <xsd:import namespace="cc73b508-dacc-41de-a31c-846a24ac305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52014f-2c81-4c4b-91d9-ff60d45d6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3b508-dacc-41de-a31c-846a24ac305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DE1C5B-5B00-4368-8AB8-67D4026D1F79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c73b508-dacc-41de-a31c-846a24ac3052"/>
    <ds:schemaRef ds:uri="http://purl.org/dc/elements/1.1/"/>
    <ds:schemaRef ds:uri="http://schemas.microsoft.com/office/2006/metadata/properties"/>
    <ds:schemaRef ds:uri="fc52014f-2c81-4c4b-91d9-ff60d45d638d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53289C4-561E-4E52-A436-E3C3A9D15F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6CE556-AE47-4721-9768-4A627829BC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52014f-2c81-4c4b-91d9-ff60d45d638d"/>
    <ds:schemaRef ds:uri="cc73b508-dacc-41de-a31c-846a24ac30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Danryd, Anders R</cp:lastModifiedBy>
  <cp:revision>25</cp:revision>
  <dcterms:created xsi:type="dcterms:W3CDTF">2020-12-18T18:00:00Z</dcterms:created>
  <dcterms:modified xsi:type="dcterms:W3CDTF">2020-12-31T18:25:00Z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0x0101002C269C43200386408AC2A68E8FD10541</vt:lpwstr>
  </property>
</Properties>
</file>